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RPr="00681DF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274478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</w:rPr>
              <w:t>Nanotec</w:t>
            </w:r>
            <w:proofErr w:type="spellEnd"/>
            <w:r>
              <w:rPr>
                <w:rFonts w:cs="Arial"/>
              </w:rPr>
              <w:t xml:space="preserve"> Electronic GmbH &amp; Co. KG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Kapellenstr</w:t>
            </w:r>
            <w:proofErr w:type="spellEnd"/>
            <w:r>
              <w:rPr>
                <w:rFonts w:cs="Arial"/>
              </w:rPr>
              <w:t xml:space="preserve">. </w:t>
            </w:r>
            <w:r w:rsidRPr="00274478">
              <w:rPr>
                <w:rFonts w:cs="Arial"/>
                <w:lang w:val="de-DE"/>
              </w:rPr>
              <w:t>6</w:t>
            </w:r>
          </w:p>
          <w:p w:rsidR="00952F85" w:rsidRPr="00274478" w:rsidRDefault="009D416C" w:rsidP="00986154">
            <w:pPr>
              <w:pStyle w:val="Kopfzeile"/>
              <w:tabs>
                <w:tab w:val="left" w:pos="476"/>
              </w:tabs>
              <w:rPr>
                <w:rFonts w:cs="Arial"/>
                <w:lang w:val="de-DE"/>
              </w:rPr>
            </w:pPr>
            <w:r w:rsidRPr="00274478">
              <w:rPr>
                <w:rFonts w:cs="Arial"/>
                <w:lang w:val="de-DE"/>
              </w:rPr>
              <w:t>D-85622 Feldkirchen/</w:t>
            </w:r>
            <w:proofErr w:type="spellStart"/>
            <w:r w:rsidRPr="00274478">
              <w:rPr>
                <w:rFonts w:cs="Arial"/>
                <w:lang w:val="de-DE"/>
              </w:rPr>
              <w:t>Munich</w:t>
            </w:r>
            <w:proofErr w:type="spellEnd"/>
            <w:r w:rsidRPr="00274478">
              <w:rPr>
                <w:rFonts w:cs="Arial"/>
                <w:lang w:val="de-DE"/>
              </w:rPr>
              <w:t>, Germany</w:t>
            </w:r>
            <w:r w:rsidRPr="00274478">
              <w:rPr>
                <w:rFonts w:cs="Arial"/>
                <w:lang w:val="de-DE"/>
              </w:rPr>
              <w:br/>
              <w:t>www.nanotec.com</w:t>
            </w:r>
          </w:p>
        </w:tc>
        <w:tc>
          <w:tcPr>
            <w:tcW w:w="4605" w:type="dxa"/>
            <w:vAlign w:val="center"/>
          </w:tcPr>
          <w:p w:rsidR="00952F85" w:rsidRPr="00274478" w:rsidRDefault="00C8256A" w:rsidP="003267A5">
            <w:pPr>
              <w:pStyle w:val="Kopfzeile"/>
              <w:jc w:val="right"/>
              <w:rPr>
                <w:rFonts w:cs="Arial"/>
                <w:lang w:val="de-DE"/>
              </w:rPr>
            </w:pPr>
            <w:r>
              <w:rPr>
                <w:rFonts w:cs="Arial"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Pr="00274478" w:rsidRDefault="00952F85">
      <w:pPr>
        <w:rPr>
          <w:lang w:val="de-DE"/>
        </w:rPr>
      </w:pPr>
    </w:p>
    <w:p w:rsidR="00952F85" w:rsidRPr="00274478" w:rsidRDefault="00952F85">
      <w:pPr>
        <w:rPr>
          <w:lang w:val="de-DE"/>
        </w:rPr>
      </w:pPr>
    </w:p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>
        <w:rPr>
          <w:b/>
          <w:i/>
          <w:sz w:val="28"/>
        </w:rPr>
        <w:t>Press release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B70F40" w:rsidRDefault="00EE4A9D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Stepper motor with superior EMC performance</w:t>
      </w:r>
    </w:p>
    <w:p w:rsidR="00EE4A9D" w:rsidRDefault="003B6163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  <w:i/>
          <w:color w:val="000000"/>
        </w:rPr>
        <w:t>Feldkirchen</w:t>
      </w:r>
      <w:r w:rsidR="00DE09AF">
        <w:rPr>
          <w:rFonts w:cs="Arial"/>
          <w:i/>
          <w:color w:val="000000"/>
        </w:rPr>
        <w:t>/Germany</w:t>
      </w:r>
      <w:r>
        <w:rPr>
          <w:rFonts w:cs="Arial"/>
          <w:i/>
          <w:color w:val="000000"/>
        </w:rPr>
        <w:t xml:space="preserve">, </w:t>
      </w:r>
      <w:r w:rsidR="002D08B6">
        <w:rPr>
          <w:rFonts w:cs="Arial"/>
          <w:i/>
          <w:color w:val="000000"/>
        </w:rPr>
        <w:t xml:space="preserve">May </w:t>
      </w:r>
      <w:r>
        <w:rPr>
          <w:rFonts w:cs="Arial"/>
          <w:i/>
          <w:color w:val="000000"/>
        </w:rPr>
        <w:t xml:space="preserve">8, </w:t>
      </w:r>
      <w:r w:rsidR="002D08B6">
        <w:rPr>
          <w:rFonts w:cs="Arial"/>
          <w:i/>
          <w:color w:val="000000"/>
        </w:rPr>
        <w:t>2015</w:t>
      </w:r>
      <w:r w:rsidR="002D08B6">
        <w:rPr>
          <w:rFonts w:cs="Arial"/>
          <w:color w:val="000000"/>
        </w:rPr>
        <w:t xml:space="preserve"> – </w:t>
      </w:r>
      <w:r w:rsidR="001E4CE1">
        <w:rPr>
          <w:rFonts w:cs="Arial"/>
          <w:color w:val="000000"/>
        </w:rPr>
        <w:t xml:space="preserve">With </w:t>
      </w:r>
      <w:r w:rsidR="001E4CE1">
        <w:rPr>
          <w:rFonts w:cs="Arial"/>
        </w:rPr>
        <w:t xml:space="preserve">its new SC3518 series, </w:t>
      </w:r>
      <w:proofErr w:type="spellStart"/>
      <w:r w:rsidR="001E4CE1">
        <w:rPr>
          <w:rFonts w:cs="Arial"/>
        </w:rPr>
        <w:t>Nanotec</w:t>
      </w:r>
      <w:proofErr w:type="spellEnd"/>
      <w:r w:rsidR="001E4CE1">
        <w:rPr>
          <w:rFonts w:cs="Arial"/>
        </w:rPr>
        <w:t xml:space="preserve"> launches stepper motors</w:t>
      </w:r>
      <w:r w:rsidR="002D08B6">
        <w:rPr>
          <w:rFonts w:cs="Arial"/>
        </w:rPr>
        <w:t xml:space="preserve"> which not only feature a very high torque but also have excellent EMC properties. </w:t>
      </w:r>
    </w:p>
    <w:p w:rsidR="00EE4A9D" w:rsidRDefault="001E4CE1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>The m</w:t>
      </w:r>
      <w:r w:rsidR="00EE4A9D">
        <w:rPr>
          <w:rFonts w:cs="Arial"/>
        </w:rPr>
        <w:t>otors of the SC3518 series are 2-phase hyb</w:t>
      </w:r>
      <w:r>
        <w:rPr>
          <w:rFonts w:cs="Arial"/>
        </w:rPr>
        <w:t xml:space="preserve">rid stepper motors with frame size NEMA 14 (35 </w:t>
      </w:r>
      <w:r w:rsidR="00EE4A9D">
        <w:rPr>
          <w:rFonts w:cs="Arial"/>
        </w:rPr>
        <w:t xml:space="preserve">mm) </w:t>
      </w:r>
      <w:r>
        <w:rPr>
          <w:rFonts w:cs="Arial"/>
        </w:rPr>
        <w:t xml:space="preserve">and </w:t>
      </w:r>
      <w:r w:rsidR="00EE4A9D">
        <w:rPr>
          <w:rFonts w:cs="Arial"/>
        </w:rPr>
        <w:t>a 1.8°</w:t>
      </w:r>
      <w:r>
        <w:rPr>
          <w:rFonts w:cs="Arial"/>
        </w:rPr>
        <w:t xml:space="preserve"> </w:t>
      </w:r>
      <w:r w:rsidR="00EE4A9D">
        <w:rPr>
          <w:rFonts w:cs="Arial"/>
        </w:rPr>
        <w:t xml:space="preserve">step angle. Depending on the motor length, their </w:t>
      </w:r>
      <w:r>
        <w:rPr>
          <w:rFonts w:cs="Arial"/>
        </w:rPr>
        <w:t xml:space="preserve">torque is between 0.18 and 0.32 </w:t>
      </w:r>
      <w:r w:rsidR="00EE4A9D">
        <w:rPr>
          <w:rFonts w:cs="Arial"/>
        </w:rPr>
        <w:t xml:space="preserve">Nm. 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407A7F">
        <w:rPr>
          <w:rFonts w:cs="Arial"/>
        </w:rPr>
        <w:t xml:space="preserve">Like </w:t>
      </w:r>
      <w:r w:rsidR="00407A7F">
        <w:rPr>
          <w:rFonts w:cs="Arial"/>
        </w:rPr>
        <w:t>all motors of the</w:t>
      </w:r>
      <w:r w:rsidRPr="00407A7F">
        <w:rPr>
          <w:rFonts w:cs="Arial"/>
        </w:rPr>
        <w:t xml:space="preserve"> SC series from </w:t>
      </w:r>
      <w:proofErr w:type="spellStart"/>
      <w:r w:rsidRPr="00407A7F">
        <w:rPr>
          <w:rFonts w:cs="Arial"/>
        </w:rPr>
        <w:t>Nanotec</w:t>
      </w:r>
      <w:proofErr w:type="spellEnd"/>
      <w:r w:rsidRPr="00407A7F">
        <w:rPr>
          <w:rFonts w:cs="Arial"/>
        </w:rPr>
        <w:t xml:space="preserve">, the new </w:t>
      </w:r>
      <w:r w:rsidR="00407A7F">
        <w:rPr>
          <w:rFonts w:cs="Arial"/>
        </w:rPr>
        <w:t xml:space="preserve">stepper </w:t>
      </w:r>
      <w:r w:rsidRPr="00407A7F">
        <w:rPr>
          <w:rFonts w:cs="Arial"/>
        </w:rPr>
        <w:t xml:space="preserve">motor is connected via an integrated connector that enables </w:t>
      </w:r>
      <w:r w:rsidR="00407A7F">
        <w:rPr>
          <w:rFonts w:cs="Arial"/>
        </w:rPr>
        <w:t>easy</w:t>
      </w:r>
      <w:r w:rsidRPr="00407A7F">
        <w:rPr>
          <w:rFonts w:cs="Arial"/>
        </w:rPr>
        <w:t xml:space="preserve"> cable </w:t>
      </w:r>
      <w:r w:rsidR="00407A7F">
        <w:rPr>
          <w:rFonts w:cs="Arial"/>
        </w:rPr>
        <w:t>adaption</w:t>
      </w:r>
      <w:r w:rsidRPr="00407A7F">
        <w:rPr>
          <w:rFonts w:cs="Arial"/>
        </w:rPr>
        <w:t xml:space="preserve"> to any customer application.</w:t>
      </w:r>
      <w:r>
        <w:rPr>
          <w:rFonts w:cs="Arial"/>
        </w:rPr>
        <w:t xml:space="preserve"> 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The two outer pins of the connector are attached to the motor housing. Together with the shielded cable, which is standard equipment, this creates a shield connection with excellent EMC performance. Interference from motor line radiation, which can cause problems in existing </w:t>
      </w:r>
      <w:proofErr w:type="gramStart"/>
      <w:r>
        <w:rPr>
          <w:rFonts w:cs="Arial"/>
        </w:rPr>
        <w:t>sensors</w:t>
      </w:r>
      <w:proofErr w:type="gramEnd"/>
      <w:r>
        <w:rPr>
          <w:rFonts w:cs="Arial"/>
        </w:rPr>
        <w:t xml:space="preserve"> is effectively suppressed.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The motors are available with a shaft end for open-loop or </w:t>
      </w:r>
      <w:proofErr w:type="spellStart"/>
      <w:r>
        <w:rPr>
          <w:rFonts w:cs="Arial"/>
        </w:rPr>
        <w:t>sensor</w:t>
      </w:r>
      <w:r w:rsidR="00681DF5">
        <w:rPr>
          <w:rFonts w:cs="Arial"/>
        </w:rPr>
        <w:t>less</w:t>
      </w:r>
      <w:proofErr w:type="spellEnd"/>
      <w:r>
        <w:rPr>
          <w:rFonts w:cs="Arial"/>
        </w:rPr>
        <w:t xml:space="preserve"> control or with an integrated optical encoder NOE1 with up to 2000 increments/rotation.</w:t>
      </w:r>
    </w:p>
    <w:p w:rsidR="00FD0AE7" w:rsidRPr="00FD0AE7" w:rsidRDefault="00EE4A9D" w:rsidP="00EE4A9D">
      <w:pPr>
        <w:spacing w:after="120" w:line="360" w:lineRule="auto"/>
        <w:rPr>
          <w:rFonts w:cs="Arial"/>
          <w:color w:val="000000"/>
        </w:rPr>
      </w:pPr>
      <w:r>
        <w:rPr>
          <w:rFonts w:cs="Arial"/>
        </w:rPr>
        <w:t>On account of their high torque yet small size, motors of the SC3518 series are ideal for use in laboratory automation or service robot</w:t>
      </w:r>
      <w:r w:rsidR="003B6163">
        <w:rPr>
          <w:rFonts w:cs="Arial"/>
        </w:rPr>
        <w:t>ics</w:t>
      </w:r>
      <w:r>
        <w:rPr>
          <w:rFonts w:cs="Arial"/>
        </w:rPr>
        <w:t>.</w:t>
      </w:r>
    </w:p>
    <w:p w:rsidR="0034111B" w:rsidRPr="00036A14" w:rsidRDefault="0034111B" w:rsidP="009B3635"/>
    <w:p w:rsidR="00952F85" w:rsidRPr="00FD0AE7" w:rsidRDefault="009D416C" w:rsidP="009D416C">
      <w:pPr>
        <w:spacing w:after="120"/>
      </w:pPr>
      <w:r>
        <w:rPr>
          <w:u w:val="single"/>
        </w:rPr>
        <w:t>Press Contact</w:t>
      </w:r>
    </w:p>
    <w:p w:rsidR="00952F85" w:rsidRDefault="009D416C" w:rsidP="001418C7">
      <w:pPr>
        <w:rPr>
          <w:rFonts w:cs="Arial"/>
        </w:rPr>
      </w:pPr>
      <w:r>
        <w:rPr>
          <w:rFonts w:cs="Arial"/>
        </w:rPr>
        <w:t>Sigrid Scondo</w:t>
      </w:r>
    </w:p>
    <w:p w:rsidR="003B6163" w:rsidRPr="009D416C" w:rsidRDefault="003B6163" w:rsidP="001418C7">
      <w:r>
        <w:rPr>
          <w:rFonts w:cs="Arial"/>
        </w:rPr>
        <w:t>Marketing Communications Manager</w:t>
      </w:r>
    </w:p>
    <w:p w:rsidR="00EF70F3" w:rsidRPr="005D40C3" w:rsidRDefault="00407A7F" w:rsidP="00B50CD8">
      <w:pPr>
        <w:tabs>
          <w:tab w:val="left" w:pos="709"/>
        </w:tabs>
        <w:rPr>
          <w:rFonts w:cs="Arial"/>
        </w:rPr>
      </w:pPr>
      <w:r>
        <w:rPr>
          <w:rFonts w:cs="Arial"/>
        </w:rPr>
        <w:t>Phone</w:t>
      </w:r>
      <w:r>
        <w:rPr>
          <w:rFonts w:cs="Arial"/>
        </w:rPr>
        <w:tab/>
        <w:t>+49 (0)89 900 686-37</w:t>
      </w:r>
      <w:r>
        <w:rPr>
          <w:rFonts w:cs="Arial"/>
        </w:rPr>
        <w:br/>
        <w:t>E</w:t>
      </w:r>
      <w:r w:rsidR="00E9589B">
        <w:rPr>
          <w:rFonts w:cs="Arial"/>
        </w:rPr>
        <w:t>mail</w:t>
      </w:r>
      <w:r w:rsidR="00E9589B">
        <w:rPr>
          <w:rFonts w:cs="Arial"/>
        </w:rPr>
        <w:tab/>
      </w:r>
      <w:hyperlink r:id="rId10" w:history="1">
        <w:r w:rsidR="00E9589B">
          <w:rPr>
            <w:rStyle w:val="Hyperlink"/>
            <w:rFonts w:cs="Arial"/>
          </w:rPr>
          <w:t>sigrid.scondo@nanotec.de</w:t>
        </w:r>
      </w:hyperlink>
    </w:p>
    <w:p w:rsidR="00EF70F3" w:rsidRPr="00D93572" w:rsidRDefault="00EF70F3">
      <w:pPr>
        <w:rPr>
          <w:rFonts w:cs="Arial"/>
        </w:rPr>
      </w:pPr>
    </w:p>
    <w:p w:rsidR="00A47368" w:rsidRPr="00D93572" w:rsidRDefault="00A47368">
      <w:pPr>
        <w:rPr>
          <w:b/>
          <w:i/>
          <w:u w:val="single"/>
        </w:rPr>
      </w:pPr>
    </w:p>
    <w:p w:rsidR="00952F85" w:rsidRPr="007B4271" w:rsidRDefault="00952F85">
      <w:pPr>
        <w:rPr>
          <w:b/>
          <w:i/>
        </w:rPr>
      </w:pPr>
      <w:r>
        <w:rPr>
          <w:b/>
          <w:i/>
        </w:rPr>
        <w:t xml:space="preserve">About </w:t>
      </w:r>
      <w:proofErr w:type="spellStart"/>
      <w:r>
        <w:rPr>
          <w:b/>
          <w:i/>
        </w:rPr>
        <w:t>Nanotec</w:t>
      </w:r>
      <w:proofErr w:type="spellEnd"/>
    </w:p>
    <w:p w:rsidR="00952F85" w:rsidRPr="00E46419" w:rsidRDefault="00DE09AF" w:rsidP="00DE09AF">
      <w:pPr>
        <w:rPr>
          <w:rFonts w:cs="Arial"/>
          <w:i/>
          <w:sz w:val="18"/>
          <w:szCs w:val="18"/>
        </w:rPr>
      </w:pP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is a leading manufacturer of motors and controllers for high-quality drive solutions. The company has been developing and marketing a broad range of products since 1991.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technology is primarily used in automation systems, laboratory automation, medical devices, the packaging industry, and semiconductor production. </w:t>
      </w:r>
      <w:proofErr w:type="spellStart"/>
      <w:r>
        <w:rPr>
          <w:rFonts w:cs="Arial"/>
          <w:i/>
          <w:sz w:val="18"/>
          <w:shd w:val="clear" w:color="auto" w:fill="FFFFFF"/>
        </w:rPr>
        <w:t>Nanotec</w:t>
      </w:r>
      <w:proofErr w:type="spellEnd"/>
      <w:r>
        <w:rPr>
          <w:rFonts w:cs="Arial"/>
          <w:i/>
          <w:sz w:val="18"/>
          <w:shd w:val="clear" w:color="auto" w:fill="FFFFFF"/>
        </w:rPr>
        <w:t xml:space="preserve"> has its company headquarters in Feldkirchen near Munich with subsidiaries in </w:t>
      </w:r>
      <w:proofErr w:type="spellStart"/>
      <w:proofErr w:type="gramStart"/>
      <w:r>
        <w:rPr>
          <w:rFonts w:cs="Arial"/>
          <w:i/>
          <w:sz w:val="18"/>
          <w:shd w:val="clear" w:color="auto" w:fill="FFFFFF"/>
        </w:rPr>
        <w:t>ChangZhou</w:t>
      </w:r>
      <w:proofErr w:type="spellEnd"/>
      <w:proofErr w:type="gramEnd"/>
      <w:r>
        <w:rPr>
          <w:rFonts w:cs="Arial"/>
          <w:i/>
          <w:sz w:val="18"/>
          <w:shd w:val="clear" w:color="auto" w:fill="FFFFFF"/>
        </w:rPr>
        <w:t>, China, and Medford/MA, USA.</w:t>
      </w:r>
      <w:bookmarkStart w:id="0" w:name="_GoBack"/>
      <w:bookmarkEnd w:id="0"/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E4CE1"/>
    <w:rsid w:val="001F7B2A"/>
    <w:rsid w:val="0020094D"/>
    <w:rsid w:val="0022683D"/>
    <w:rsid w:val="00260C76"/>
    <w:rsid w:val="00263C02"/>
    <w:rsid w:val="00274478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B6163"/>
    <w:rsid w:val="003D56FD"/>
    <w:rsid w:val="003D7D11"/>
    <w:rsid w:val="003F2031"/>
    <w:rsid w:val="00407A7F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A1AF7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81DF5"/>
    <w:rsid w:val="006912E1"/>
    <w:rsid w:val="0070324B"/>
    <w:rsid w:val="00707878"/>
    <w:rsid w:val="007419E7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11F"/>
    <w:rsid w:val="007C4EBB"/>
    <w:rsid w:val="007C78E5"/>
    <w:rsid w:val="007E18A8"/>
    <w:rsid w:val="007E3C60"/>
    <w:rsid w:val="008012F5"/>
    <w:rsid w:val="00801B11"/>
    <w:rsid w:val="008131E9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FB8"/>
    <w:rsid w:val="00A02D53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09AF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80DEC"/>
    <w:rsid w:val="00E9589B"/>
    <w:rsid w:val="00E95D55"/>
    <w:rsid w:val="00E96F58"/>
    <w:rsid w:val="00EA2EF0"/>
    <w:rsid w:val="00ED2A22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val="en-US"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val="en-US"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78CAA52-F2BC-4751-B885-1A3C588B88B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7</cp:revision>
  <cp:lastPrinted>2015-05-08T07:26:00Z</cp:lastPrinted>
  <dcterms:created xsi:type="dcterms:W3CDTF">2015-05-08T06:40:00Z</dcterms:created>
  <dcterms:modified xsi:type="dcterms:W3CDTF">2015-05-08T07:34:00Z</dcterms:modified>
</cp:coreProperties>
</file>